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F1B9" w14:textId="77777777" w:rsidR="00664489" w:rsidRDefault="00000000">
      <w:pPr>
        <w:pStyle w:val="Heading1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0" w:after="920" w:line="266" w:lineRule="auto"/>
        <w:rPr>
          <w:rFonts w:ascii="Roboto" w:eastAsia="Roboto" w:hAnsi="Roboto" w:cs="Roboto"/>
          <w:b/>
          <w:color w:val="0D0D0D"/>
          <w:sz w:val="60"/>
          <w:szCs w:val="60"/>
        </w:rPr>
      </w:pPr>
      <w:bookmarkStart w:id="0" w:name="_heading=h.1qr6y4bo8hgt" w:colFirst="0" w:colLast="0"/>
      <w:bookmarkEnd w:id="0"/>
      <w:r>
        <w:rPr>
          <w:rFonts w:ascii="Roboto" w:eastAsia="Roboto" w:hAnsi="Roboto" w:cs="Roboto"/>
          <w:b/>
          <w:color w:val="0D0D0D"/>
          <w:sz w:val="60"/>
          <w:szCs w:val="60"/>
        </w:rPr>
        <w:t>Secure System and Architecture Design Principles</w:t>
      </w:r>
    </w:p>
    <w:p w14:paraId="752FF76F" w14:textId="77777777" w:rsidR="00664489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1" w:name="_heading=h.30j0zll" w:colFirst="0" w:colLast="0"/>
      <w:bookmarkEnd w:id="1"/>
      <w:r>
        <w:rPr>
          <w:rFonts w:ascii="Roboto" w:eastAsia="Roboto" w:hAnsi="Roboto" w:cs="Roboto"/>
          <w:b/>
          <w:color w:val="0D0D0D"/>
          <w:sz w:val="34"/>
          <w:szCs w:val="34"/>
        </w:rPr>
        <w:t>Document Control</w:t>
      </w:r>
    </w:p>
    <w:p w14:paraId="4C344420" w14:textId="77777777" w:rsidR="00664489" w:rsidRDefault="0066448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</w:p>
    <w:tbl>
      <w:tblPr>
        <w:tblStyle w:val="1"/>
        <w:tblW w:w="8801" w:type="dxa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6686"/>
      </w:tblGrid>
      <w:tr w:rsidR="00664489" w14:paraId="487B5280" w14:textId="77777777">
        <w:trPr>
          <w:trHeight w:val="782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618F" w14:textId="77777777" w:rsidR="00664489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Document Title: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6DF0" w14:textId="355467C4" w:rsidR="00664489" w:rsidRDefault="00D64AF6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 w:rsidRPr="00D64AF6">
              <w:rPr>
                <w:rFonts w:ascii="Roboto" w:eastAsia="Roboto" w:hAnsi="Roboto" w:cs="Roboto"/>
                <w:color w:val="0D0D0D"/>
                <w:sz w:val="24"/>
                <w:szCs w:val="24"/>
              </w:rPr>
              <w:t>Secure System and Architecture Design Principles</w:t>
            </w:r>
          </w:p>
        </w:tc>
      </w:tr>
      <w:tr w:rsidR="00664489" w14:paraId="57966611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C8D3" w14:textId="77777777" w:rsidR="00664489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Version: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15B3" w14:textId="77777777" w:rsidR="006644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>1.0</w:t>
            </w:r>
          </w:p>
        </w:tc>
      </w:tr>
      <w:tr w:rsidR="00664489" w14:paraId="3835626E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858C" w14:textId="77777777" w:rsidR="00664489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Document ID: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30DD" w14:textId="77777777" w:rsidR="00664489" w:rsidRDefault="00664489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</w:p>
        </w:tc>
      </w:tr>
      <w:tr w:rsidR="00664489" w14:paraId="004974E5" w14:textId="77777777">
        <w:trPr>
          <w:trHeight w:val="624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EF1F" w14:textId="77777777" w:rsidR="00664489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>Approval Date: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7E4E" w14:textId="77777777" w:rsidR="00664489" w:rsidRDefault="0066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</w:p>
        </w:tc>
      </w:tr>
      <w:tr w:rsidR="00664489" w14:paraId="0DADF01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20BA" w14:textId="77777777" w:rsidR="00664489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Owner: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4780" w14:textId="77777777" w:rsidR="00664489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>Software Security Governance Committee</w:t>
            </w:r>
          </w:p>
        </w:tc>
      </w:tr>
      <w:tr w:rsidR="00664489" w14:paraId="0D220C0E" w14:textId="77777777">
        <w:trPr>
          <w:trHeight w:val="539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50B0" w14:textId="77777777" w:rsidR="00664489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Approver: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6D12" w14:textId="77777777" w:rsidR="00664489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>Chief Information Security Officer</w:t>
            </w:r>
          </w:p>
        </w:tc>
      </w:tr>
    </w:tbl>
    <w:p w14:paraId="6E35379F" w14:textId="77777777" w:rsidR="00664489" w:rsidRDefault="0066448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</w:p>
    <w:p w14:paraId="0AA3B3FE" w14:textId="77777777" w:rsidR="00664489" w:rsidRDefault="0066448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</w:p>
    <w:p w14:paraId="453CDA09" w14:textId="2A60DB09" w:rsidR="00664489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Approved by: ____________________________________</w:t>
      </w:r>
    </w:p>
    <w:p w14:paraId="7454B7F8" w14:textId="77777777" w:rsidR="00216618" w:rsidRDefault="00216618" w:rsidP="00216618">
      <w:pPr>
        <w:pBdr>
          <w:bottom w:val="double" w:sz="6" w:space="1" w:color="auto"/>
        </w:pBdr>
      </w:pPr>
    </w:p>
    <w:p w14:paraId="71229DE0" w14:textId="77777777" w:rsidR="00216618" w:rsidRDefault="00216618" w:rsidP="00216618"/>
    <w:p w14:paraId="580F9315" w14:textId="77777777" w:rsidR="00216618" w:rsidRDefault="00216618" w:rsidP="00216618">
      <w:r>
        <w:t xml:space="preserve">This template is developed by KLC Consulting, Inc. </w:t>
      </w:r>
      <w:hyperlink r:id="rId8" w:history="1">
        <w:r w:rsidRPr="00DC2AE0">
          <w:rPr>
            <w:rStyle w:val="Hyperlink"/>
          </w:rPr>
          <w:t>https://klcconsulting.net</w:t>
        </w:r>
      </w:hyperlink>
    </w:p>
    <w:p w14:paraId="688A7E71" w14:textId="77777777" w:rsidR="00216618" w:rsidRDefault="00216618" w:rsidP="00216618">
      <w:pPr>
        <w:pBdr>
          <w:bottom w:val="double" w:sz="6" w:space="1" w:color="auto"/>
        </w:pBdr>
      </w:pPr>
      <w:r>
        <w:t>You are free to use this template under the MIT license.</w:t>
      </w:r>
    </w:p>
    <w:p w14:paraId="2421B1E2" w14:textId="77777777" w:rsidR="00216618" w:rsidRDefault="00216618" w:rsidP="00216618">
      <w:pPr>
        <w:pBdr>
          <w:bottom w:val="double" w:sz="6" w:space="1" w:color="auto"/>
        </w:pBdr>
      </w:pPr>
    </w:p>
    <w:p w14:paraId="4A855F0A" w14:textId="77777777" w:rsidR="00664489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  <w:r>
        <w:br w:type="page"/>
      </w:r>
    </w:p>
    <w:p w14:paraId="799BDF51" w14:textId="77777777" w:rsidR="00664489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2" w:name="_heading=h.1h6limj0lj16" w:colFirst="0" w:colLast="0"/>
      <w:bookmarkEnd w:id="2"/>
      <w:r>
        <w:rPr>
          <w:rFonts w:ascii="Roboto" w:eastAsia="Roboto" w:hAnsi="Roboto" w:cs="Roboto"/>
          <w:b/>
          <w:color w:val="0D0D0D"/>
          <w:sz w:val="34"/>
          <w:szCs w:val="34"/>
        </w:rPr>
        <w:lastRenderedPageBreak/>
        <w:t>1. Introduction</w:t>
      </w:r>
    </w:p>
    <w:p w14:paraId="6BD31AB6" w14:textId="2011136A" w:rsidR="00664489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This document integrates systems security engineering principles into the </w:t>
      </w:r>
      <w:r w:rsidR="00D64AF6">
        <w:rPr>
          <w:rFonts w:ascii="Roboto" w:eastAsia="Roboto" w:hAnsi="Roboto" w:cs="Roboto"/>
          <w:color w:val="0D0D0D"/>
          <w:sz w:val="24"/>
          <w:szCs w:val="24"/>
        </w:rPr>
        <w:t>system development, enhancement, and maintenance lifecycl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e within [Company Name]. It </w:t>
      </w:r>
      <w:r w:rsidR="00D64AF6">
        <w:rPr>
          <w:rFonts w:ascii="Roboto" w:eastAsia="Roboto" w:hAnsi="Roboto" w:cs="Roboto"/>
          <w:color w:val="0D0D0D"/>
          <w:sz w:val="24"/>
          <w:szCs w:val="24"/>
        </w:rPr>
        <w:t>aims to create inherently secure, resilient, and trustworthy systems</w:t>
      </w:r>
      <w:r>
        <w:rPr>
          <w:rFonts w:ascii="Roboto" w:eastAsia="Roboto" w:hAnsi="Roboto" w:cs="Roboto"/>
          <w:color w:val="0D0D0D"/>
          <w:sz w:val="24"/>
          <w:szCs w:val="24"/>
        </w:rPr>
        <w:t>.</w:t>
      </w:r>
    </w:p>
    <w:p w14:paraId="1CB4B4BA" w14:textId="77777777" w:rsidR="00664489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3" w:name="_heading=h.7hb6ydj2068d" w:colFirst="0" w:colLast="0"/>
      <w:bookmarkEnd w:id="3"/>
      <w:r>
        <w:rPr>
          <w:rFonts w:ascii="Roboto" w:eastAsia="Roboto" w:hAnsi="Roboto" w:cs="Roboto"/>
          <w:b/>
          <w:color w:val="0D0D0D"/>
          <w:sz w:val="34"/>
          <w:szCs w:val="34"/>
        </w:rPr>
        <w:t>2. Purpose</w:t>
      </w:r>
    </w:p>
    <w:p w14:paraId="5B85F9BE" w14:textId="2B3DDD66" w:rsidR="00664489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To provide an enhanced set of principles for the secure development and maintenance of systems, ensuring the robustness of [Company Name]'s technological infrastructure against </w:t>
      </w:r>
      <w:r w:rsidR="00D64AF6">
        <w:rPr>
          <w:rFonts w:ascii="Roboto" w:eastAsia="Roboto" w:hAnsi="Roboto" w:cs="Roboto"/>
          <w:color w:val="0D0D0D"/>
          <w:sz w:val="24"/>
          <w:szCs w:val="24"/>
        </w:rPr>
        <w:t>various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threats and vulnerabilities.</w:t>
      </w:r>
    </w:p>
    <w:p w14:paraId="3DCAD460" w14:textId="77777777" w:rsidR="00664489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4" w:name="_heading=h.n1gevtvgcsc6" w:colFirst="0" w:colLast="0"/>
      <w:bookmarkEnd w:id="4"/>
      <w:r>
        <w:rPr>
          <w:rFonts w:ascii="Roboto" w:eastAsia="Roboto" w:hAnsi="Roboto" w:cs="Roboto"/>
          <w:b/>
          <w:color w:val="0D0D0D"/>
          <w:sz w:val="34"/>
          <w:szCs w:val="34"/>
        </w:rPr>
        <w:t>3. Scope</w:t>
      </w:r>
    </w:p>
    <w:p w14:paraId="2942455C" w14:textId="77777777" w:rsidR="00664489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These principles are mandatory for all personnel involved in system design, development, and maintenance within [Company Name], covering new systems, significant upgrades, and legacy system enhancements.</w:t>
      </w:r>
    </w:p>
    <w:p w14:paraId="6E6BB622" w14:textId="77777777" w:rsidR="00664489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5" w:name="_heading=h.rf5rcya8atax" w:colFirst="0" w:colLast="0"/>
      <w:bookmarkEnd w:id="5"/>
      <w:r>
        <w:rPr>
          <w:rFonts w:ascii="Roboto" w:eastAsia="Roboto" w:hAnsi="Roboto" w:cs="Roboto"/>
          <w:b/>
          <w:color w:val="0D0D0D"/>
          <w:sz w:val="34"/>
          <w:szCs w:val="34"/>
        </w:rPr>
        <w:t>4. Principles</w:t>
      </w:r>
    </w:p>
    <w:p w14:paraId="35371CC8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6" w:name="_heading=h.llr8t0sr1dih" w:colFirst="0" w:colLast="0"/>
      <w:bookmarkEnd w:id="6"/>
      <w:r>
        <w:rPr>
          <w:rFonts w:ascii="Roboto" w:eastAsia="Roboto" w:hAnsi="Roboto" w:cs="Roboto"/>
          <w:b/>
          <w:color w:val="0D0D0D"/>
          <w:sz w:val="33"/>
          <w:szCs w:val="33"/>
        </w:rPr>
        <w:t>4.1 Comprehensive Security Integration</w:t>
      </w:r>
    </w:p>
    <w:p w14:paraId="1E57E3D3" w14:textId="182F9871" w:rsidR="00664489" w:rsidRDefault="00D64AF6" w:rsidP="00CA29D8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Embed security comprehensively throughout the system development lifecycle.</w:t>
      </w:r>
    </w:p>
    <w:p w14:paraId="2CCBCDDA" w14:textId="77777777" w:rsidR="00664489" w:rsidRDefault="00000000" w:rsidP="00CA29D8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21A4E084" w14:textId="77777777" w:rsidR="00664489" w:rsidRDefault="00000000" w:rsidP="00CA29D8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Initiate each project with a thorough Security Needs Assessment, aligning security goals with business and regulatory requirements.</w:t>
      </w:r>
    </w:p>
    <w:p w14:paraId="4D45E3E5" w14:textId="77777777" w:rsidR="00664489" w:rsidRDefault="00000000" w:rsidP="00CA29D8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Incorporate security checkpoints at each phase of the SDLC, from planning through deployment, to ensure continual alignment with security objectives.</w:t>
      </w:r>
    </w:p>
    <w:p w14:paraId="0D44AE06" w14:textId="77777777" w:rsidR="00664489" w:rsidRDefault="00000000" w:rsidP="00CA29D8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Utilize security automation tools within the CI/CD pipeline for consistent application of security practices.</w:t>
      </w:r>
    </w:p>
    <w:p w14:paraId="1ED4C9E3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7" w:name="_heading=h.cfx36gyo31aa" w:colFirst="0" w:colLast="0"/>
      <w:bookmarkEnd w:id="7"/>
      <w:r>
        <w:rPr>
          <w:rFonts w:ascii="Roboto" w:eastAsia="Roboto" w:hAnsi="Roboto" w:cs="Roboto"/>
          <w:b/>
          <w:color w:val="0D0D0D"/>
          <w:sz w:val="33"/>
          <w:szCs w:val="33"/>
        </w:rPr>
        <w:t>4.2 Defense-in-Depth</w:t>
      </w:r>
    </w:p>
    <w:p w14:paraId="6451DBA9" w14:textId="63D4DB39" w:rsidR="00664489" w:rsidRDefault="00D64AF6" w:rsidP="00CA29D8">
      <w:pPr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lastRenderedPageBreak/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Apply a layered approach to security, ensuring multiple fail-safes and reducing single points of failure.</w:t>
      </w:r>
    </w:p>
    <w:p w14:paraId="3364C633" w14:textId="77777777" w:rsidR="00664489" w:rsidRDefault="00000000" w:rsidP="00CA29D8">
      <w:pPr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3C146A45" w14:textId="77777777" w:rsidR="00664489" w:rsidRDefault="00000000" w:rsidP="00CA29D8">
      <w:pPr>
        <w:numPr>
          <w:ilvl w:val="1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Implement diverse security controls at different layers, including physical security, network segmentation, application firewalls, and data encryption.</w:t>
      </w:r>
    </w:p>
    <w:p w14:paraId="763DA770" w14:textId="77777777" w:rsidR="00664489" w:rsidRDefault="00000000" w:rsidP="00CA29D8">
      <w:pPr>
        <w:numPr>
          <w:ilvl w:val="1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Regularly update and test each security layer to address evolving threats and maintain the efficacy of the defense-in-depth strategy.</w:t>
      </w:r>
    </w:p>
    <w:p w14:paraId="364D73BE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8" w:name="_heading=h.nvj4gdebd20b" w:colFirst="0" w:colLast="0"/>
      <w:bookmarkEnd w:id="8"/>
      <w:r>
        <w:rPr>
          <w:rFonts w:ascii="Roboto" w:eastAsia="Roboto" w:hAnsi="Roboto" w:cs="Roboto"/>
          <w:b/>
          <w:color w:val="0D0D0D"/>
          <w:sz w:val="33"/>
          <w:szCs w:val="33"/>
        </w:rPr>
        <w:t>4.3 Security by Design</w:t>
      </w:r>
    </w:p>
    <w:p w14:paraId="545E03D5" w14:textId="0C124D96" w:rsidR="00664489" w:rsidRDefault="00D64AF6" w:rsidP="00CA29D8">
      <w:pPr>
        <w:numPr>
          <w:ilvl w:val="0"/>
          <w:numId w:val="9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Prioritize security from the initial design phase, making it an integral part of system architecture.</w:t>
      </w:r>
    </w:p>
    <w:p w14:paraId="35C5EAFB" w14:textId="77777777" w:rsidR="00664489" w:rsidRDefault="00000000" w:rsidP="00CA29D8">
      <w:pPr>
        <w:numPr>
          <w:ilvl w:val="0"/>
          <w:numId w:val="9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04D4688B" w14:textId="1FC554B1" w:rsidR="00664489" w:rsidRDefault="00000000" w:rsidP="00CA29D8">
      <w:pPr>
        <w:numPr>
          <w:ilvl w:val="1"/>
          <w:numId w:val="9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Adopt secure design frameworks and patterns </w:t>
      </w:r>
      <w:r w:rsidR="00D64AF6">
        <w:rPr>
          <w:rFonts w:ascii="Roboto" w:eastAsia="Roboto" w:hAnsi="Roboto" w:cs="Roboto"/>
          <w:color w:val="0D0D0D"/>
          <w:sz w:val="24"/>
          <w:szCs w:val="24"/>
        </w:rPr>
        <w:t>emphasizing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security, such as microservices for isolation and encrypted data storage models.</w:t>
      </w:r>
    </w:p>
    <w:p w14:paraId="63BB494D" w14:textId="704EC5B7" w:rsidR="00664489" w:rsidRDefault="00000000" w:rsidP="00CA29D8">
      <w:pPr>
        <w:numPr>
          <w:ilvl w:val="1"/>
          <w:numId w:val="9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Engage in security-focused architectural reviews to ensure security considerations are adequately addressed in the system design.</w:t>
      </w:r>
    </w:p>
    <w:p w14:paraId="22F800A4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9" w:name="_heading=h.bcwek8wk5ogb" w:colFirst="0" w:colLast="0"/>
      <w:bookmarkEnd w:id="9"/>
      <w:r>
        <w:rPr>
          <w:rFonts w:ascii="Roboto" w:eastAsia="Roboto" w:hAnsi="Roboto" w:cs="Roboto"/>
          <w:b/>
          <w:color w:val="0D0D0D"/>
          <w:sz w:val="33"/>
          <w:szCs w:val="33"/>
        </w:rPr>
        <w:t>4.4 Resilience and Fault Tolerance</w:t>
      </w:r>
    </w:p>
    <w:p w14:paraId="1F3D5C1C" w14:textId="2023C6AA" w:rsidR="00664489" w:rsidRDefault="00D64AF6" w:rsidP="00CA29D8">
      <w:pPr>
        <w:numPr>
          <w:ilvl w:val="0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Design systems to be resilient to attacks and capable of maintaining core functions under adverse conditions.</w:t>
      </w:r>
    </w:p>
    <w:p w14:paraId="1003716C" w14:textId="77777777" w:rsidR="00664489" w:rsidRDefault="00000000" w:rsidP="00CA29D8">
      <w:pPr>
        <w:numPr>
          <w:ilvl w:val="0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6F22E824" w14:textId="77777777" w:rsidR="00664489" w:rsidRDefault="00000000" w:rsidP="00CA29D8">
      <w:pPr>
        <w:numPr>
          <w:ilvl w:val="1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Incorporate redundancy for critical components and services to ensure system availability even in the event of an attack or failure.</w:t>
      </w:r>
    </w:p>
    <w:p w14:paraId="293097DA" w14:textId="77777777" w:rsidR="00664489" w:rsidRDefault="00000000" w:rsidP="00CA29D8">
      <w:pPr>
        <w:numPr>
          <w:ilvl w:val="1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Develop and regularly test incident response and disaster recovery plans to ensure system resilience and rapid recovery capabilities.</w:t>
      </w:r>
    </w:p>
    <w:p w14:paraId="483E59E4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0" w:name="_heading=h.k322kfbogfy8" w:colFirst="0" w:colLast="0"/>
      <w:bookmarkEnd w:id="10"/>
      <w:r>
        <w:rPr>
          <w:rFonts w:ascii="Roboto" w:eastAsia="Roboto" w:hAnsi="Roboto" w:cs="Roboto"/>
          <w:b/>
          <w:color w:val="0D0D0D"/>
          <w:sz w:val="33"/>
          <w:szCs w:val="33"/>
        </w:rPr>
        <w:t>4.5 Adaptive Security Posture</w:t>
      </w:r>
    </w:p>
    <w:p w14:paraId="1B0B558C" w14:textId="04424350" w:rsidR="00664489" w:rsidRDefault="00D64AF6" w:rsidP="00CA29D8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Enable systems to adjust their security posture dynamically in response to new threats and vulnerabilities.</w:t>
      </w:r>
    </w:p>
    <w:p w14:paraId="1CDDADE9" w14:textId="77777777" w:rsidR="00664489" w:rsidRDefault="00000000" w:rsidP="00CA29D8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lastRenderedPageBreak/>
        <w:t>Detailed Implementation:</w:t>
      </w:r>
    </w:p>
    <w:p w14:paraId="7F657325" w14:textId="01F17C48" w:rsidR="00664489" w:rsidRDefault="00000000" w:rsidP="00CA29D8">
      <w:pPr>
        <w:numPr>
          <w:ilvl w:val="1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Integrate real-time threat intelligence into security mechanisms to </w:t>
      </w:r>
      <w:r w:rsidR="00D64AF6">
        <w:rPr>
          <w:rFonts w:ascii="Roboto" w:eastAsia="Roboto" w:hAnsi="Roboto" w:cs="Roboto"/>
          <w:color w:val="0D0D0D"/>
          <w:sz w:val="24"/>
          <w:szCs w:val="24"/>
        </w:rPr>
        <w:t>proactively inform and adjust defensive measures</w:t>
      </w:r>
      <w:r>
        <w:rPr>
          <w:rFonts w:ascii="Roboto" w:eastAsia="Roboto" w:hAnsi="Roboto" w:cs="Roboto"/>
          <w:color w:val="0D0D0D"/>
          <w:sz w:val="24"/>
          <w:szCs w:val="24"/>
        </w:rPr>
        <w:t>.</w:t>
      </w:r>
    </w:p>
    <w:p w14:paraId="71FF58C9" w14:textId="77777777" w:rsidR="00664489" w:rsidRDefault="00000000" w:rsidP="00CA29D8">
      <w:pPr>
        <w:numPr>
          <w:ilvl w:val="1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Implement advanced monitoring and anomaly detection to identify and respond to unusual activity indicative of emerging threats.</w:t>
      </w:r>
    </w:p>
    <w:p w14:paraId="6BFE0B15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1" w:name="_heading=h.pgdnni17ujv3" w:colFirst="0" w:colLast="0"/>
      <w:bookmarkEnd w:id="11"/>
      <w:r>
        <w:rPr>
          <w:rFonts w:ascii="Roboto" w:eastAsia="Roboto" w:hAnsi="Roboto" w:cs="Roboto"/>
          <w:b/>
          <w:color w:val="0D0D0D"/>
          <w:sz w:val="33"/>
          <w:szCs w:val="33"/>
        </w:rPr>
        <w:t>4.6 Secure Configuration and Maintenance</w:t>
      </w:r>
    </w:p>
    <w:p w14:paraId="0BFC0C68" w14:textId="602F6E5A" w:rsidR="00664489" w:rsidRDefault="00D64AF6" w:rsidP="00CA29D8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Ensure systems are securely configured and maintained to protect against vulnerabilities and misconfigurations.</w:t>
      </w:r>
    </w:p>
    <w:p w14:paraId="5F74BB49" w14:textId="77777777" w:rsidR="00664489" w:rsidRDefault="00000000" w:rsidP="00CA29D8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1C41C0A1" w14:textId="77777777" w:rsidR="00664489" w:rsidRDefault="00000000" w:rsidP="00CA29D8">
      <w:pPr>
        <w:numPr>
          <w:ilvl w:val="1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Develop and enforce secure baseline configurations for all system components, using industry benchmarks as a guide.</w:t>
      </w:r>
    </w:p>
    <w:p w14:paraId="2187A38D" w14:textId="77777777" w:rsidR="00664489" w:rsidRDefault="00000000" w:rsidP="00CA29D8">
      <w:pPr>
        <w:numPr>
          <w:ilvl w:val="1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Utilize configuration management tools to automate the application of secure settings and to monitor compliance continuously.</w:t>
      </w:r>
    </w:p>
    <w:p w14:paraId="6B9A2180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2" w:name="_heading=h.u3jy6ym23zpi" w:colFirst="0" w:colLast="0"/>
      <w:bookmarkEnd w:id="12"/>
      <w:r>
        <w:rPr>
          <w:rFonts w:ascii="Roboto" w:eastAsia="Roboto" w:hAnsi="Roboto" w:cs="Roboto"/>
          <w:b/>
          <w:color w:val="0D0D0D"/>
          <w:sz w:val="33"/>
          <w:szCs w:val="33"/>
        </w:rPr>
        <w:t>4.7 Principle of Least Privilege</w:t>
      </w:r>
    </w:p>
    <w:p w14:paraId="13041E12" w14:textId="33F3D895" w:rsidR="00664489" w:rsidRDefault="00D64AF6" w:rsidP="00CA29D8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Restrict access rights and permissions to the minimum necessary for users and systems to perform their functions.</w:t>
      </w:r>
    </w:p>
    <w:p w14:paraId="200241AD" w14:textId="77777777" w:rsidR="00664489" w:rsidRDefault="00000000" w:rsidP="00CA29D8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119E58FA" w14:textId="77777777" w:rsidR="00664489" w:rsidRDefault="00000000" w:rsidP="00CA29D8">
      <w:pPr>
        <w:numPr>
          <w:ilvl w:val="1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Implement Role-Based Access Control (RBAC) and Attribute-Based Access Control (ABAC) to manage access permissions effectively.</w:t>
      </w:r>
    </w:p>
    <w:p w14:paraId="02C81B1B" w14:textId="77777777" w:rsidR="00664489" w:rsidRDefault="00000000" w:rsidP="00CA29D8">
      <w:pPr>
        <w:numPr>
          <w:ilvl w:val="1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Conduct periodic access reviews and privilege audits to ensure adherence to the principle of least privilege.</w:t>
      </w:r>
    </w:p>
    <w:p w14:paraId="51C49BB2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3" w:name="_heading=h.wufvoz41s1sr" w:colFirst="0" w:colLast="0"/>
      <w:bookmarkEnd w:id="13"/>
      <w:r>
        <w:rPr>
          <w:rFonts w:ascii="Roboto" w:eastAsia="Roboto" w:hAnsi="Roboto" w:cs="Roboto"/>
          <w:b/>
          <w:color w:val="0D0D0D"/>
          <w:sz w:val="33"/>
          <w:szCs w:val="33"/>
        </w:rPr>
        <w:t>4.8 Encryption and Data Protection</w:t>
      </w:r>
    </w:p>
    <w:p w14:paraId="7E95E10A" w14:textId="287FCDAC" w:rsidR="00664489" w:rsidRDefault="00D64AF6" w:rsidP="00CA29D8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Employ strong encryption techniques to protect data at rest and in transit.</w:t>
      </w:r>
    </w:p>
    <w:p w14:paraId="56E74A9F" w14:textId="77777777" w:rsidR="00664489" w:rsidRDefault="00000000" w:rsidP="00CA29D8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022697B2" w14:textId="77777777" w:rsidR="00664489" w:rsidRDefault="00000000" w:rsidP="00CA29D8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lastRenderedPageBreak/>
        <w:t>Use robust encryption standards for data storage and transmission, ensuring the confidentiality and integrity of sensitive information.</w:t>
      </w:r>
    </w:p>
    <w:p w14:paraId="1D964AA7" w14:textId="77777777" w:rsidR="00664489" w:rsidRDefault="00000000" w:rsidP="00CA29D8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Implement a comprehensive key management process, including secure key generation, storage, rotation, and revocation practices.</w:t>
      </w:r>
    </w:p>
    <w:p w14:paraId="29BAAAFC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4" w:name="_heading=h.mnokkx6idfs6" w:colFirst="0" w:colLast="0"/>
      <w:bookmarkEnd w:id="14"/>
      <w:r>
        <w:rPr>
          <w:rFonts w:ascii="Roboto" w:eastAsia="Roboto" w:hAnsi="Roboto" w:cs="Roboto"/>
          <w:b/>
          <w:color w:val="0D0D0D"/>
          <w:sz w:val="33"/>
          <w:szCs w:val="33"/>
        </w:rPr>
        <w:t>4.9 Continuous Security Assessment</w:t>
      </w:r>
    </w:p>
    <w:p w14:paraId="793E4682" w14:textId="4C140806" w:rsidR="00664489" w:rsidRDefault="00D64AF6" w:rsidP="00CA29D8">
      <w:pPr>
        <w:numPr>
          <w:ilvl w:val="0"/>
          <w:numId w:val="10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Conduct ongoing security assessments to identify and address vulnerabilities and weaknesses.</w:t>
      </w:r>
    </w:p>
    <w:p w14:paraId="6523D592" w14:textId="77777777" w:rsidR="00664489" w:rsidRDefault="00000000" w:rsidP="00CA29D8">
      <w:pPr>
        <w:numPr>
          <w:ilvl w:val="0"/>
          <w:numId w:val="10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2AC5350E" w14:textId="77777777" w:rsidR="00664489" w:rsidRDefault="00000000" w:rsidP="00CA29D8">
      <w:pPr>
        <w:numPr>
          <w:ilvl w:val="1"/>
          <w:numId w:val="10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Perform regular security audits, penetration testing, and vulnerability assessments to evaluate the security posture of systems.</w:t>
      </w:r>
    </w:p>
    <w:p w14:paraId="6A912CF4" w14:textId="77777777" w:rsidR="00664489" w:rsidRDefault="00000000" w:rsidP="00CA29D8">
      <w:pPr>
        <w:numPr>
          <w:ilvl w:val="1"/>
          <w:numId w:val="10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Utilize automated scanning tools and manual testing techniques to ensure comprehensive coverage of potential security issues.</w:t>
      </w:r>
    </w:p>
    <w:p w14:paraId="5E7688CC" w14:textId="77777777" w:rsidR="00664489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5" w:name="_heading=h.47aiz0jjt1am" w:colFirst="0" w:colLast="0"/>
      <w:bookmarkEnd w:id="15"/>
      <w:r>
        <w:rPr>
          <w:rFonts w:ascii="Roboto" w:eastAsia="Roboto" w:hAnsi="Roboto" w:cs="Roboto"/>
          <w:b/>
          <w:color w:val="0D0D0D"/>
          <w:sz w:val="33"/>
          <w:szCs w:val="33"/>
        </w:rPr>
        <w:t>4.10 Legacy System Security Enhancement</w:t>
      </w:r>
    </w:p>
    <w:p w14:paraId="046AD321" w14:textId="78C3E740" w:rsidR="00664489" w:rsidRDefault="00D64AF6" w:rsidP="00CA29D8">
      <w:pPr>
        <w:numPr>
          <w:ilvl w:val="0"/>
          <w:numId w:val="6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 w:rsidRPr="00D64AF6">
        <w:rPr>
          <w:rFonts w:ascii="Roboto" w:eastAsia="Roboto" w:hAnsi="Roboto" w:cs="Roboto"/>
          <w:b/>
          <w:bCs/>
          <w:color w:val="0D0D0D"/>
          <w:sz w:val="24"/>
          <w:szCs w:val="24"/>
        </w:rPr>
        <w:t>Principle: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Address the unique security challenges of legacy systems through targeted enhancements or strategic replacement.</w:t>
      </w:r>
    </w:p>
    <w:p w14:paraId="11324460" w14:textId="77777777" w:rsidR="00664489" w:rsidRDefault="00000000" w:rsidP="00CA29D8">
      <w:pPr>
        <w:numPr>
          <w:ilvl w:val="0"/>
          <w:numId w:val="6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Detailed Implementation:</w:t>
      </w:r>
    </w:p>
    <w:p w14:paraId="5075D0DE" w14:textId="77777777" w:rsidR="00664489" w:rsidRDefault="00000000" w:rsidP="00CA29D8">
      <w:pPr>
        <w:numPr>
          <w:ilvl w:val="1"/>
          <w:numId w:val="6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Assess the security of legacy systems to identify critical vulnerabilities and prioritize them for remediation or replacement.</w:t>
      </w:r>
    </w:p>
    <w:p w14:paraId="52DAC51D" w14:textId="77777777" w:rsidR="00664489" w:rsidRDefault="00000000" w:rsidP="00CA29D8">
      <w:pPr>
        <w:numPr>
          <w:ilvl w:val="1"/>
          <w:numId w:val="6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</w:pPr>
      <w:r>
        <w:rPr>
          <w:rFonts w:ascii="Roboto" w:eastAsia="Roboto" w:hAnsi="Roboto" w:cs="Roboto"/>
          <w:color w:val="0D0D0D"/>
          <w:sz w:val="24"/>
          <w:szCs w:val="24"/>
        </w:rPr>
        <w:t>Where feasible, implement compensatory controls or isolate legacy systems to mitigate risks while planning for their eventual upgrade or decommissioning.</w:t>
      </w:r>
    </w:p>
    <w:p w14:paraId="2DC8DC07" w14:textId="77777777" w:rsidR="00664489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16" w:name="_heading=h.ucs1vv7od7qs" w:colFirst="0" w:colLast="0"/>
      <w:bookmarkEnd w:id="16"/>
      <w:r>
        <w:rPr>
          <w:rFonts w:ascii="Roboto" w:eastAsia="Roboto" w:hAnsi="Roboto" w:cs="Roboto"/>
          <w:b/>
          <w:color w:val="0D0D0D"/>
          <w:sz w:val="34"/>
          <w:szCs w:val="34"/>
        </w:rPr>
        <w:t>5. Governance</w:t>
      </w:r>
    </w:p>
    <w:p w14:paraId="0DADC101" w14:textId="77777777" w:rsidR="00664489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The Security Governance Committee is responsible for overseeing the implementation, review, and continuous improvement of these principles, ensuring they remain aligned with the latest security best practices and threat intelligence.</w:t>
      </w:r>
    </w:p>
    <w:p w14:paraId="5DD1E947" w14:textId="77777777" w:rsidR="00664489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17" w:name="_heading=h.wclvt3agnshb" w:colFirst="0" w:colLast="0"/>
      <w:bookmarkEnd w:id="17"/>
      <w:r>
        <w:rPr>
          <w:rFonts w:ascii="Roboto" w:eastAsia="Roboto" w:hAnsi="Roboto" w:cs="Roboto"/>
          <w:b/>
          <w:color w:val="0D0D0D"/>
          <w:sz w:val="34"/>
          <w:szCs w:val="34"/>
        </w:rPr>
        <w:t>6. Compliance</w:t>
      </w:r>
    </w:p>
    <w:p w14:paraId="58EF1F2F" w14:textId="77777777" w:rsidR="00664489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lastRenderedPageBreak/>
        <w:t>Adherence to these principles is mandatory for all personnel involved in system and architecture design within [Company Name]. Non-compliance will be addressed through the Compliance Department, underscoring the importance of these principles in maintaining the security and integrity of the organization's technological infrastructure.</w:t>
      </w:r>
    </w:p>
    <w:p w14:paraId="688C3878" w14:textId="77777777" w:rsidR="00664489" w:rsidRDefault="0066448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</w:p>
    <w:p w14:paraId="665F5119" w14:textId="77777777" w:rsidR="00664489" w:rsidRDefault="0066448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b/>
          <w:color w:val="0D0D0D"/>
          <w:sz w:val="54"/>
          <w:szCs w:val="54"/>
        </w:rPr>
      </w:pPr>
    </w:p>
    <w:sectPr w:rsidR="006644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ABFA" w14:textId="77777777" w:rsidR="007A1C2C" w:rsidRDefault="007A1C2C" w:rsidP="00ED6C98">
      <w:pPr>
        <w:spacing w:line="240" w:lineRule="auto"/>
      </w:pPr>
      <w:r>
        <w:separator/>
      </w:r>
    </w:p>
  </w:endnote>
  <w:endnote w:type="continuationSeparator" w:id="0">
    <w:p w14:paraId="51516775" w14:textId="77777777" w:rsidR="007A1C2C" w:rsidRDefault="007A1C2C" w:rsidP="00ED6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9886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5EF67A" w14:textId="38E4E412" w:rsidR="00216618" w:rsidRDefault="00216618" w:rsidP="00216618">
            <w:pPr>
              <w:pStyle w:val="Footer"/>
              <w:ind w:right="440"/>
            </w:pPr>
            <w:r w:rsidRPr="00216618">
              <w:t>Secure System and Architecture Design Principles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37980" w14:textId="77777777" w:rsidR="00216618" w:rsidRDefault="0021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CE1E" w14:textId="77777777" w:rsidR="007A1C2C" w:rsidRDefault="007A1C2C" w:rsidP="00ED6C98">
      <w:pPr>
        <w:spacing w:line="240" w:lineRule="auto"/>
      </w:pPr>
      <w:r>
        <w:separator/>
      </w:r>
    </w:p>
  </w:footnote>
  <w:footnote w:type="continuationSeparator" w:id="0">
    <w:p w14:paraId="53AF8FEA" w14:textId="77777777" w:rsidR="007A1C2C" w:rsidRDefault="007A1C2C" w:rsidP="00ED6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8AFD" w14:textId="507D600B" w:rsidR="00216618" w:rsidRDefault="00216618">
    <w:pPr>
      <w:pStyle w:val="Header"/>
    </w:pPr>
    <w:r w:rsidRPr="00CD46C2">
      <w:rPr>
        <w:noProof/>
      </w:rPr>
      <w:drawing>
        <wp:anchor distT="0" distB="0" distL="114300" distR="114300" simplePos="0" relativeHeight="251659264" behindDoc="0" locked="0" layoutInCell="1" allowOverlap="1" wp14:anchorId="74DA5651" wp14:editId="4B569E5E">
          <wp:simplePos x="0" y="0"/>
          <wp:positionH relativeFrom="margin">
            <wp:posOffset>4465320</wp:posOffset>
          </wp:positionH>
          <wp:positionV relativeFrom="paragraph">
            <wp:posOffset>-281940</wp:posOffset>
          </wp:positionV>
          <wp:extent cx="1187671" cy="581899"/>
          <wp:effectExtent l="0" t="0" r="0" b="8890"/>
          <wp:wrapNone/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671" cy="581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8B9"/>
    <w:multiLevelType w:val="multilevel"/>
    <w:tmpl w:val="509CF30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A53AB"/>
    <w:multiLevelType w:val="multilevel"/>
    <w:tmpl w:val="1C80AB6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CD131D"/>
    <w:multiLevelType w:val="multilevel"/>
    <w:tmpl w:val="E306F10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FA3F68"/>
    <w:multiLevelType w:val="multilevel"/>
    <w:tmpl w:val="6A944C6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47357A"/>
    <w:multiLevelType w:val="multilevel"/>
    <w:tmpl w:val="76200F4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4A0128"/>
    <w:multiLevelType w:val="multilevel"/>
    <w:tmpl w:val="287CA5F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361083"/>
    <w:multiLevelType w:val="multilevel"/>
    <w:tmpl w:val="66B2115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9E5AF6"/>
    <w:multiLevelType w:val="multilevel"/>
    <w:tmpl w:val="AE68506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C57C61"/>
    <w:multiLevelType w:val="multilevel"/>
    <w:tmpl w:val="DCAC49B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1D1AE9"/>
    <w:multiLevelType w:val="multilevel"/>
    <w:tmpl w:val="465ECF6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00066938">
    <w:abstractNumId w:val="4"/>
  </w:num>
  <w:num w:numId="2" w16cid:durableId="925070680">
    <w:abstractNumId w:val="0"/>
  </w:num>
  <w:num w:numId="3" w16cid:durableId="1153642845">
    <w:abstractNumId w:val="3"/>
  </w:num>
  <w:num w:numId="4" w16cid:durableId="108470809">
    <w:abstractNumId w:val="8"/>
  </w:num>
  <w:num w:numId="5" w16cid:durableId="1384401374">
    <w:abstractNumId w:val="9"/>
  </w:num>
  <w:num w:numId="6" w16cid:durableId="1192035994">
    <w:abstractNumId w:val="6"/>
  </w:num>
  <w:num w:numId="7" w16cid:durableId="390735925">
    <w:abstractNumId w:val="5"/>
  </w:num>
  <w:num w:numId="8" w16cid:durableId="1273244677">
    <w:abstractNumId w:val="7"/>
  </w:num>
  <w:num w:numId="9" w16cid:durableId="1333751717">
    <w:abstractNumId w:val="1"/>
  </w:num>
  <w:num w:numId="10" w16cid:durableId="164122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2MLewMDU1sTQzM7BQ0lEKTi0uzszPAykwrAUAN7HVLywAAAA="/>
  </w:docVars>
  <w:rsids>
    <w:rsidRoot w:val="00664489"/>
    <w:rsid w:val="00216618"/>
    <w:rsid w:val="00664489"/>
    <w:rsid w:val="007A1C2C"/>
    <w:rsid w:val="00890F79"/>
    <w:rsid w:val="00CA29D8"/>
    <w:rsid w:val="00D64AF6"/>
    <w:rsid w:val="00E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02D98"/>
  <w15:docId w15:val="{41A4DAB7-A8EA-437E-AB68-E80A8AD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9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64"/>
  </w:style>
  <w:style w:type="paragraph" w:styleId="Footer">
    <w:name w:val="footer"/>
    <w:basedOn w:val="Normal"/>
    <w:link w:val="FooterChar"/>
    <w:uiPriority w:val="99"/>
    <w:unhideWhenUsed/>
    <w:rsid w:val="002049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64"/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16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cconsult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N2GTjG4RBSq6kBt054ZRthj89A==">CgMxLjAyDmguMXFyNnk0Ym84aGd0MgloLjMwajB6bGwyDmguMWg2bGltajBsajE2Mg5oLjdoYjZ5ZGoyMDY4ZDIOaC5uMWdldnR2Z2NzYzYyDmgucmY1cmN5YThhdGF4Mg5oLmxscjh0MHNyMWRpaDIOaC5jZngzNmd5bzMxYWEyDmgubnZqNGdkZWJkMjBiMg5oLmJjd2VrOHdrNW9nYjIOaC5rMzIya2Zib2dmeTgyDmgucGdkbm5pMTd1anYzMg5oLnUzank2eW0yM3pwaTIOaC53dWZ2b3o0MXMxc3IyDmgubW5va2t4NmlkZnM2Mg5oLjQ3YWl6MGpqdDFhbTIOaC51Y3MxdnY3b2Q3cXMyDmgud2NsdnQzYWduc2hiOAByITFTaHBjTXdJdnR5M3NvdkJma1I0LW91UmxEMEJiOC1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826</Words>
  <Characters>5438</Characters>
  <Application>Microsoft Office Word</Application>
  <DocSecurity>0</DocSecurity>
  <Lines>132</Lines>
  <Paragraphs>77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Lai</cp:lastModifiedBy>
  <cp:revision>4</cp:revision>
  <dcterms:created xsi:type="dcterms:W3CDTF">2024-02-22T20:57:00Z</dcterms:created>
  <dcterms:modified xsi:type="dcterms:W3CDTF">2024-03-11T22:17:00Z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ba292166f56a2b24459caced14d9ee7addd1f4f3520f825d24783728313eb99d</vt:lpwstr>
  </property>
</Properties>
</file>